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ackground w:color="FFFFFF"/>
  <w:body>
    <w:p w:rsidR="00000000" w:rsidDel="00000000" w:rsidP="00000000" w:rsidRDefault="00000000" w:rsidRPr="00000000" w14:paraId="00000001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5840" w:w="12240" w:orient="portrait"/>
          <w:pgMar w:bottom="1440" w:top="1440" w:left="1440" w:right="1440" w:header="720" w:footer="720"/>
          <w:pgNumType w:start="1"/>
        </w:sectPr>
      </w:pPr>
      <w:bookmarkStart w:colFirst="0" w:colLast="0" w:name="_drhsh339ob1w" w:id="0"/>
      <w:bookmarkEnd w:id="0"/>
      <w:r w:rsidDel="00000000" w:rsidR="00000000" w:rsidRPr="00000000">
        <w:rPr>
          <w:rFonts w:ascii="Roboto Medium" w:cs="Roboto Medium" w:eastAsia="Roboto Medium" w:hAnsi="Roboto Medium"/>
          <w:b w:val="0"/>
          <w:i w:val="0"/>
          <w:smallCaps w:val="0"/>
          <w:strike w:val="0"/>
          <w:color w:val="1f1f1f"/>
          <w:sz w:val="120"/>
          <w:szCs w:val="120"/>
          <w:u w:val="none"/>
          <w:shd w:fill="auto" w:val="clear"/>
          <w:vertAlign w:val="baseline"/>
          <w:rtl w:val="0"/>
        </w:rPr>
        <w:t xml:space="preserve">Project brief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19050" distT="19050" distL="19050" distR="19050">
            <wp:extent cx="7315200" cy="2032000"/>
            <wp:effectExtent b="0" l="0" r="0" t="0"/>
            <wp:docPr descr="An image of blue sticky notes on a wall with a yellow one standing out" id="1" name="image1.jpg"/>
            <a:graphic>
              <a:graphicData uri="http://schemas.openxmlformats.org/drawingml/2006/picture">
                <pic:pic>
                  <pic:nvPicPr>
                    <pic:cNvPr descr="An image of blue sticky notes on a wall with a yellow one standing out" id="0" name="image1.jpg"/>
                    <pic:cNvPicPr preferRelativeResize="0"/>
                  </pic:nvPicPr>
                  <pic:blipFill>
                    <a:blip r:embed="rId6"/>
                    <a:srcRect b="39776" l="0" r="0" t="18546"/>
                    <a:stretch>
                      <a:fillRect/>
                    </a:stretch>
                  </pic:blipFill>
                  <pic:spPr>
                    <a:xfrm>
                      <a:off x="0" y="0"/>
                      <a:ext cx="7315200" cy="2032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Style w:val="Title"/>
        <w:spacing w:after="240" w:before="240" w:lineRule="auto"/>
        <w:rPr>
          <w:rFonts w:ascii="IBM Plex Sans Medium" w:cs="IBM Plex Sans Medium" w:eastAsia="IBM Plex Sans Medium" w:hAnsi="IBM Plex Sans Medium"/>
          <w:sz w:val="104"/>
          <w:szCs w:val="104"/>
        </w:rPr>
      </w:pPr>
      <w:bookmarkStart w:colFirst="0" w:colLast="0" w:name="_u2wjruipolzj" w:id="1"/>
      <w:bookmarkEnd w:id="1"/>
      <w:r w:rsidDel="00000000" w:rsidR="00000000" w:rsidRPr="00000000">
        <w:rPr>
          <w:rFonts w:ascii="IBM Plex Sans Medium" w:cs="IBM Plex Sans Medium" w:eastAsia="IBM Plex Sans Medium" w:hAnsi="IBM Plex Sans Medium"/>
          <w:b w:val="1"/>
          <w:sz w:val="104"/>
          <w:szCs w:val="104"/>
          <w:rtl w:val="0"/>
        </w:rPr>
        <w:t xml:space="preserve">Design Team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80" w:lineRule="auto"/>
        <w:rPr>
          <w:rFonts w:ascii="IBM Plex Sans" w:cs="IBM Plex Sans" w:eastAsia="IBM Plex Sans" w:hAnsi="IBM Plex Sans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40" w:before="240" w:lineRule="auto"/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Key Responsibilities:</w:t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Ensure mobile-friendly UI for risk assessment templates.</w:t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Develop form handling with free-text entry, dropdowns, and duplicable fields.</w:t>
      </w:r>
    </w:p>
    <w:p w:rsidR="00000000" w:rsidDel="00000000" w:rsidP="00000000" w:rsidRDefault="00000000" w:rsidRPr="00000000" w14:paraId="00000008">
      <w:pPr>
        <w:numPr>
          <w:ilvl w:val="0"/>
          <w:numId w:val="1"/>
        </w:numPr>
        <w:spacing w:after="0" w:afterAutospacing="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Design push notifications and deep linking UI.</w:t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Maintain alignment with RiskPal’s branding guidelines.</w:t>
      </w:r>
    </w:p>
    <w:p w:rsidR="00000000" w:rsidDel="00000000" w:rsidP="00000000" w:rsidRDefault="00000000" w:rsidRPr="00000000" w14:paraId="0000000A">
      <w:pPr>
        <w:spacing w:after="240" w:before="240" w:lineRule="auto"/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Fonts w:ascii="IBM Plex Sans" w:cs="IBM Plex Sans" w:eastAsia="IBM Plex Sans" w:hAnsi="IBM Plex Sans"/>
          <w:b w:val="1"/>
          <w:rtl w:val="0"/>
        </w:rPr>
        <w:t xml:space="preserve">Deliverables:</w:t>
      </w:r>
    </w:p>
    <w:p w:rsidR="00000000" w:rsidDel="00000000" w:rsidP="00000000" w:rsidRDefault="00000000" w:rsidRPr="00000000" w14:paraId="0000000B">
      <w:pPr>
        <w:numPr>
          <w:ilvl w:val="0"/>
          <w:numId w:val="2"/>
        </w:numPr>
        <w:spacing w:after="0" w:afterAutospacing="0" w:before="24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Interactive design prototypes</w:t>
      </w:r>
    </w:p>
    <w:p w:rsidR="00000000" w:rsidDel="00000000" w:rsidP="00000000" w:rsidRDefault="00000000" w:rsidRPr="00000000" w14:paraId="0000000C">
      <w:pPr>
        <w:numPr>
          <w:ilvl w:val="0"/>
          <w:numId w:val="2"/>
        </w:numPr>
        <w:spacing w:after="240" w:before="0" w:beforeAutospacing="0" w:lineRule="auto"/>
        <w:ind w:left="720" w:hanging="360"/>
        <w:rPr>
          <w:rFonts w:ascii="IBM Plex Sans" w:cs="IBM Plex Sans" w:eastAsia="IBM Plex Sans" w:hAnsi="IBM Plex Sans"/>
        </w:rPr>
      </w:pPr>
      <w:r w:rsidDel="00000000" w:rsidR="00000000" w:rsidRPr="00000000">
        <w:rPr>
          <w:rFonts w:ascii="IBM Plex Sans" w:cs="IBM Plex Sans" w:eastAsia="IBM Plex Sans" w:hAnsi="IBM Plex Sans"/>
          <w:rtl w:val="0"/>
        </w:rPr>
        <w:t xml:space="preserve">Final UI assets for frontend development</w:t>
      </w:r>
    </w:p>
    <w:p w:rsidR="00000000" w:rsidDel="00000000" w:rsidP="00000000" w:rsidRDefault="00000000" w:rsidRPr="00000000" w14:paraId="0000000D">
      <w:pPr>
        <w:rPr>
          <w:rFonts w:ascii="IBM Plex Sans" w:cs="IBM Plex Sans" w:eastAsia="IBM Plex Sans" w:hAnsi="IBM Plex Sans"/>
          <w:b w:val="1"/>
        </w:rPr>
      </w:pPr>
      <w:r w:rsidDel="00000000" w:rsidR="00000000" w:rsidRPr="00000000">
        <w:rPr>
          <w:rtl w:val="0"/>
        </w:rPr>
      </w:r>
    </w:p>
    <w:sectPr>
      <w:type w:val="nextPage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IBM Plex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Robot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Roboto Medium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  <w:font w:name="IBM Plex Sans Medium">
    <w:embedRegular w:fontKey="{00000000-0000-0000-0000-000000000000}" r:id="rId13" w:subsetted="0"/>
    <w:embedBold w:fontKey="{00000000-0000-0000-0000-000000000000}" r:id="rId14" w:subsetted="0"/>
    <w:embedItalic w:fontKey="{00000000-0000-0000-0000-000000000000}" r:id="rId15" w:subsetted="0"/>
    <w:embedBoldItalic w:fontKey="{00000000-0000-0000-0000-000000000000}" r:id="rId1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Roboto" w:cs="Roboto" w:eastAsia="Roboto" w:hAnsi="Roboto"/>
        <w:color w:val="1f1f1f"/>
        <w:sz w:val="24"/>
        <w:szCs w:val="24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60" w:before="80" w:lineRule="auto"/>
      <w:ind w:left="0"/>
    </w:pPr>
    <w:rPr>
      <w:rFonts w:ascii="Roboto Medium" w:cs="Roboto Medium" w:eastAsia="Roboto Medium" w:hAnsi="Roboto Medium"/>
      <w:sz w:val="44"/>
      <w:szCs w:val="44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20" w:lineRule="auto"/>
    </w:pPr>
    <w:rPr>
      <w:rFonts w:ascii="Roboto Medium" w:cs="Roboto Medium" w:eastAsia="Roboto Medium" w:hAnsi="Roboto Medium"/>
      <w:sz w:val="40"/>
      <w:szCs w:val="40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  <w:ind w:left="0"/>
    </w:pPr>
    <w:rPr>
      <w:rFonts w:ascii="Roboto Medium" w:cs="Roboto Medium" w:eastAsia="Roboto Medium" w:hAnsi="Roboto Medium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120" w:before="360" w:line="240" w:lineRule="auto"/>
      <w:ind w:left="0"/>
    </w:pPr>
    <w:rPr>
      <w:rFonts w:ascii="Roboto Medium" w:cs="Roboto Medium" w:eastAsia="Roboto Medium" w:hAnsi="Roboto Medium"/>
    </w:rPr>
  </w:style>
  <w:style w:type="paragraph" w:styleId="Heading5">
    <w:name w:val="heading 5"/>
    <w:basedOn w:val="Normal"/>
    <w:next w:val="Normal"/>
    <w:pPr>
      <w:keepNext w:val="1"/>
      <w:keepLines w:val="1"/>
      <w:spacing w:after="120" w:before="320" w:line="240" w:lineRule="auto"/>
      <w:ind w:left="0"/>
    </w:pPr>
    <w:rPr>
      <w:rFonts w:ascii="Roboto Medium" w:cs="Roboto Medium" w:eastAsia="Roboto Medium" w:hAnsi="Roboto Medium"/>
      <w:i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120" w:before="320" w:line="240" w:lineRule="auto"/>
      <w:ind w:left="0"/>
    </w:pPr>
    <w:rPr/>
  </w:style>
  <w:style w:type="paragraph" w:styleId="Title">
    <w:name w:val="Title"/>
    <w:basedOn w:val="Normal"/>
    <w:next w:val="Normal"/>
    <w:pPr>
      <w:keepNext w:val="1"/>
      <w:keepLines w:val="1"/>
      <w:spacing w:line="216" w:lineRule="auto"/>
      <w:ind w:left="0"/>
    </w:pPr>
    <w:rPr>
      <w:rFonts w:ascii="Roboto Medium" w:cs="Roboto Medium" w:eastAsia="Roboto Medium" w:hAnsi="Roboto Medium"/>
      <w:sz w:val="120"/>
      <w:szCs w:val="120"/>
    </w:rPr>
  </w:style>
  <w:style w:type="paragraph" w:styleId="Subtitle">
    <w:name w:val="Subtitle"/>
    <w:basedOn w:val="Normal"/>
    <w:next w:val="Normal"/>
    <w:pPr>
      <w:keepNext w:val="1"/>
      <w:keepLines w:val="1"/>
      <w:spacing w:line="240" w:lineRule="auto"/>
      <w:ind w:left="0"/>
    </w:pPr>
    <w:rPr>
      <w:rFonts w:ascii="Roboto Medium" w:cs="Roboto Medium" w:eastAsia="Roboto Medium" w:hAnsi="Roboto Medium"/>
      <w:color w:val="5c5f5e"/>
      <w:sz w:val="72"/>
      <w:szCs w:val="72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1" Type="http://schemas.openxmlformats.org/officeDocument/2006/relationships/font" Target="fonts/RobotoMedium-italic.ttf"/><Relationship Id="rId10" Type="http://schemas.openxmlformats.org/officeDocument/2006/relationships/font" Target="fonts/RobotoMedium-bold.ttf"/><Relationship Id="rId13" Type="http://schemas.openxmlformats.org/officeDocument/2006/relationships/font" Target="fonts/IBMPlexSansMedium-regular.ttf"/><Relationship Id="rId12" Type="http://schemas.openxmlformats.org/officeDocument/2006/relationships/font" Target="fonts/RobotoMedium-boldItalic.ttf"/><Relationship Id="rId1" Type="http://schemas.openxmlformats.org/officeDocument/2006/relationships/font" Target="fonts/IBMPlexSans-regular.ttf"/><Relationship Id="rId2" Type="http://schemas.openxmlformats.org/officeDocument/2006/relationships/font" Target="fonts/IBMPlexSans-bold.ttf"/><Relationship Id="rId3" Type="http://schemas.openxmlformats.org/officeDocument/2006/relationships/font" Target="fonts/IBMPlexSans-italic.ttf"/><Relationship Id="rId4" Type="http://schemas.openxmlformats.org/officeDocument/2006/relationships/font" Target="fonts/IBMPlexSans-boldItalic.ttf"/><Relationship Id="rId9" Type="http://schemas.openxmlformats.org/officeDocument/2006/relationships/font" Target="fonts/RobotoMedium-regular.ttf"/><Relationship Id="rId15" Type="http://schemas.openxmlformats.org/officeDocument/2006/relationships/font" Target="fonts/IBMPlexSansMedium-italic.ttf"/><Relationship Id="rId14" Type="http://schemas.openxmlformats.org/officeDocument/2006/relationships/font" Target="fonts/IBMPlexSansMedium-bold.ttf"/><Relationship Id="rId16" Type="http://schemas.openxmlformats.org/officeDocument/2006/relationships/font" Target="fonts/IBMPlexSansMedium-boldItalic.ttf"/><Relationship Id="rId5" Type="http://schemas.openxmlformats.org/officeDocument/2006/relationships/font" Target="fonts/Roboto-regular.ttf"/><Relationship Id="rId6" Type="http://schemas.openxmlformats.org/officeDocument/2006/relationships/font" Target="fonts/Roboto-bold.ttf"/><Relationship Id="rId7" Type="http://schemas.openxmlformats.org/officeDocument/2006/relationships/font" Target="fonts/Roboto-italic.ttf"/><Relationship Id="rId8" Type="http://schemas.openxmlformats.org/officeDocument/2006/relationships/font" Target="fonts/Robot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